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6487" w14:textId="77777777" w:rsidR="007164B6" w:rsidRDefault="0075137E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  <w:r>
        <w:rPr>
          <w:rFonts w:ascii="Century Gothic" w:eastAsia="Century Gothic" w:hAnsi="Century Gothic" w:cs="Century Gothic"/>
          <w:color w:val="FF0000"/>
          <w:sz w:val="42"/>
          <w:szCs w:val="42"/>
        </w:rPr>
        <w:t>Essentials of Hematology/Oncology Nursing</w:t>
      </w:r>
      <w:r w:rsidR="007164B6">
        <w:rPr>
          <w:rFonts w:ascii="Century Gothic" w:eastAsia="Century Gothic" w:hAnsi="Century Gothic" w:cs="Century Gothic"/>
          <w:color w:val="FF0000"/>
          <w:sz w:val="42"/>
          <w:szCs w:val="42"/>
        </w:rPr>
        <w:t xml:space="preserve"> </w:t>
      </w:r>
    </w:p>
    <w:p w14:paraId="2AC7DD4D" w14:textId="7DEFBEAB" w:rsidR="0075137E" w:rsidRDefault="0075137E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  <w:r>
        <w:rPr>
          <w:rFonts w:ascii="Century Gothic" w:eastAsia="Century Gothic" w:hAnsi="Century Gothic" w:cs="Century Gothic"/>
          <w:color w:val="FF0000"/>
          <w:sz w:val="42"/>
          <w:szCs w:val="42"/>
        </w:rPr>
        <w:t>Core Curriculum 202</w:t>
      </w:r>
      <w:r w:rsidR="00051231">
        <w:rPr>
          <w:rFonts w:ascii="Century Gothic" w:eastAsia="Century Gothic" w:hAnsi="Century Gothic" w:cs="Century Gothic"/>
          <w:color w:val="FF0000"/>
          <w:sz w:val="42"/>
          <w:szCs w:val="42"/>
        </w:rPr>
        <w:t>5</w:t>
      </w:r>
    </w:p>
    <w:p w14:paraId="31F5ADAF" w14:textId="7472C148" w:rsidR="0075137E" w:rsidRDefault="0061422C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  <w:r>
        <w:rPr>
          <w:rFonts w:ascii="Century Gothic" w:eastAsia="Century Gothic" w:hAnsi="Century Gothic" w:cs="Century Gothic"/>
          <w:color w:val="FF0000"/>
          <w:sz w:val="42"/>
          <w:szCs w:val="42"/>
        </w:rPr>
        <w:t xml:space="preserve">Chemotherapy </w:t>
      </w:r>
      <w:r w:rsidR="00C211DF">
        <w:rPr>
          <w:rFonts w:ascii="Century Gothic" w:eastAsia="Century Gothic" w:hAnsi="Century Gothic" w:cs="Century Gothic"/>
          <w:color w:val="FF0000"/>
          <w:sz w:val="42"/>
          <w:szCs w:val="42"/>
        </w:rPr>
        <w:t>Computer Provider order Entry</w:t>
      </w:r>
      <w:r>
        <w:rPr>
          <w:rFonts w:ascii="Century Gothic" w:eastAsia="Century Gothic" w:hAnsi="Century Gothic" w:cs="Century Gothic"/>
          <w:color w:val="FF0000"/>
          <w:sz w:val="42"/>
          <w:szCs w:val="42"/>
        </w:rPr>
        <w:t xml:space="preserve"> (CPOE)</w:t>
      </w:r>
    </w:p>
    <w:p w14:paraId="67B60CE9" w14:textId="77777777" w:rsidR="0075137E" w:rsidRPr="00DE76D3" w:rsidRDefault="0075137E" w:rsidP="0075137E">
      <w:pPr>
        <w:suppressAutoHyphens/>
      </w:pPr>
    </w:p>
    <w:p w14:paraId="22754764" w14:textId="69927085" w:rsidR="0075137E" w:rsidRPr="004D6DFA" w:rsidRDefault="42185866" w:rsidP="0075137E">
      <w:pPr>
        <w:suppressAutoHyphens/>
        <w:rPr>
          <w:rFonts w:ascii="Century Gothic" w:eastAsia="Century Gothic" w:hAnsi="Century Gothic" w:cs="Century Gothic"/>
          <w:color w:val="5E514D"/>
          <w:sz w:val="26"/>
          <w:szCs w:val="26"/>
        </w:rPr>
      </w:pP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Date:</w:t>
      </w:r>
      <w:r w:rsidRPr="004D6DFA">
        <w:tab/>
      </w:r>
      <w:r w:rsidR="009E0B4D">
        <w:rPr>
          <w:rFonts w:ascii="Century Gothic" w:eastAsia="Century Gothic" w:hAnsi="Century Gothic" w:cs="Century Gothic"/>
          <w:color w:val="5E514D"/>
          <w:sz w:val="26"/>
          <w:szCs w:val="26"/>
        </w:rPr>
        <w:t>Thursday, September 4</w:t>
      </w:r>
      <w:r w:rsidR="00EC015B">
        <w:rPr>
          <w:rFonts w:ascii="Century Gothic" w:eastAsia="Century Gothic" w:hAnsi="Century Gothic" w:cs="Century Gothic"/>
          <w:color w:val="5E514D"/>
          <w:sz w:val="26"/>
          <w:szCs w:val="26"/>
        </w:rPr>
        <w:t>, 2025</w:t>
      </w:r>
    </w:p>
    <w:p w14:paraId="114C2A1C" w14:textId="12312AA5" w:rsidR="00E87979" w:rsidRDefault="42185866" w:rsidP="0075137E">
      <w:pPr>
        <w:suppressAutoHyphens/>
        <w:rPr>
          <w:rFonts w:ascii="Century Gothic" w:eastAsia="Century Gothic" w:hAnsi="Century Gothic" w:cs="Century Gothic"/>
          <w:color w:val="5E514D"/>
          <w:sz w:val="26"/>
          <w:szCs w:val="26"/>
        </w:rPr>
      </w:pP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Time:</w:t>
      </w:r>
      <w:r w:rsidR="56D12E4A"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 xml:space="preserve"> </w:t>
      </w:r>
      <w:r w:rsidR="0075137E" w:rsidRPr="004D6DFA">
        <w:rPr>
          <w:rFonts w:ascii="Century Gothic" w:eastAsia="Century Gothic" w:hAnsi="Century Gothic" w:cs="Century Gothic"/>
          <w:color w:val="5E514D"/>
          <w:sz w:val="26"/>
          <w:szCs w:val="26"/>
        </w:rPr>
        <w:t>1200 - 1615</w:t>
      </w:r>
      <w:r w:rsidRPr="004D6DFA">
        <w:br/>
      </w: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Location:</w:t>
      </w:r>
      <w:r w:rsidR="00A347D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 xml:space="preserve"> </w:t>
      </w:r>
      <w:r w:rsidR="0075137E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West Wing Building, Floor </w:t>
      </w:r>
      <w:r w:rsidR="00EC015B">
        <w:rPr>
          <w:rFonts w:ascii="Century Gothic" w:eastAsia="Century Gothic" w:hAnsi="Century Gothic" w:cs="Century Gothic"/>
          <w:color w:val="5E514D"/>
          <w:sz w:val="26"/>
          <w:szCs w:val="26"/>
        </w:rPr>
        <w:t>P2</w:t>
      </w:r>
      <w:r w:rsidR="0075137E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, </w:t>
      </w:r>
      <w:r w:rsidR="00EC015B">
        <w:rPr>
          <w:rFonts w:ascii="Century Gothic" w:eastAsia="Century Gothic" w:hAnsi="Century Gothic" w:cs="Century Gothic"/>
          <w:color w:val="5E514D"/>
          <w:sz w:val="26"/>
          <w:szCs w:val="26"/>
        </w:rPr>
        <w:t>Tech Train Room 2</w:t>
      </w:r>
    </w:p>
    <w:p w14:paraId="2B595EE1" w14:textId="77777777" w:rsidR="0075137E" w:rsidRPr="0075137E" w:rsidRDefault="0075137E" w:rsidP="0075137E">
      <w:pPr>
        <w:suppressAutoHyphens/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</w:pPr>
    </w:p>
    <w:p w14:paraId="66AA67F1" w14:textId="0D4D07D2" w:rsidR="00E87979" w:rsidRPr="00937BC0" w:rsidRDefault="42185866" w:rsidP="42185866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</w:pPr>
      <w:r w:rsidRPr="00937BC0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Topic</w:t>
      </w:r>
      <w:r w:rsidR="00DE76D3" w:rsidRPr="00937BC0">
        <w:tab/>
      </w:r>
      <w:r w:rsidR="00A23010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Presenter</w:t>
      </w:r>
      <w:r w:rsidR="00DE76D3" w:rsidRPr="00937BC0">
        <w:tab/>
      </w:r>
      <w:r w:rsidRPr="00937BC0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Time</w:t>
      </w:r>
    </w:p>
    <w:p w14:paraId="24A4D896" w14:textId="77777777" w:rsidR="00937BC0" w:rsidRDefault="00937BC0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</w:p>
    <w:p w14:paraId="2D6168E6" w14:textId="5EF4BF9C" w:rsidR="0075137E" w:rsidRPr="00A95C27" w:rsidRDefault="009E02CE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Chemotherapy Electronic Orders:</w:t>
      </w:r>
      <w:r w:rsidR="0075137E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  <w:r w:rsidR="0075137E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>Stacy Geisert, MSN, APRN, FNP-C</w:t>
      </w:r>
      <w:r w:rsidR="0075137E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1200</w:t>
      </w:r>
      <w:r w:rsidR="00A95C27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– 1</w:t>
      </w:r>
      <w:r w:rsidR="007D064A">
        <w:rPr>
          <w:rFonts w:ascii="Century Gothic" w:eastAsia="Century Gothic" w:hAnsi="Century Gothic" w:cs="Century Gothic"/>
          <w:color w:val="5E514D"/>
          <w:sz w:val="22"/>
          <w:szCs w:val="22"/>
        </w:rPr>
        <w:t>245</w:t>
      </w:r>
    </w:p>
    <w:p w14:paraId="09D7E20D" w14:textId="300FB35A" w:rsidR="0075137E" w:rsidRPr="00A95C27" w:rsidRDefault="009E02CE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Overview </w:t>
      </w:r>
      <w:proofErr w:type="gramStart"/>
      <w:r>
        <w:rPr>
          <w:rFonts w:ascii="Century Gothic" w:eastAsia="Century Gothic" w:hAnsi="Century Gothic" w:cs="Century Gothic"/>
          <w:color w:val="5E514D"/>
          <w:sz w:val="22"/>
          <w:szCs w:val="22"/>
        </w:rPr>
        <w:t>for</w:t>
      </w:r>
      <w:proofErr w:type="gramEnd"/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Nursing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CPHON, CPN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</w:p>
    <w:p w14:paraId="1CEE6C25" w14:textId="77777777" w:rsidR="00924734" w:rsidRDefault="00924734" w:rsidP="00924734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</w:p>
    <w:p w14:paraId="33536170" w14:textId="1CFC0EC4" w:rsidR="00924734" w:rsidRPr="001D7422" w:rsidRDefault="009E02CE" w:rsidP="00924734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Understanding Chemotherapy Timing</w:t>
      </w:r>
      <w:r w:rsidRPr="001D7422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>Stacy Geisert, MSN, APRN, FNP-C</w:t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924734" w:rsidRPr="001D7422">
        <w:rPr>
          <w:rFonts w:ascii="Century Gothic" w:eastAsia="Century Gothic" w:hAnsi="Century Gothic" w:cs="Century Gothic"/>
          <w:color w:val="5E514D"/>
          <w:sz w:val="22"/>
          <w:szCs w:val="22"/>
        </w:rPr>
        <w:t>1</w:t>
      </w:r>
      <w:r w:rsidR="007D064A">
        <w:rPr>
          <w:rFonts w:ascii="Century Gothic" w:eastAsia="Century Gothic" w:hAnsi="Century Gothic" w:cs="Century Gothic"/>
          <w:color w:val="5E514D"/>
          <w:sz w:val="22"/>
          <w:szCs w:val="22"/>
        </w:rPr>
        <w:t>245</w:t>
      </w:r>
      <w:r w:rsidR="00924734" w:rsidRPr="001D7422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– 1400</w:t>
      </w:r>
    </w:p>
    <w:p w14:paraId="4387AC29" w14:textId="0A1670BA" w:rsidR="009E02CE" w:rsidRDefault="009E02CE" w:rsidP="009E02C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Within Power plans/Day of Treatment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CPHON, CPN</w:t>
      </w:r>
    </w:p>
    <w:p w14:paraId="34D4F840" w14:textId="77777777" w:rsidR="009E02CE" w:rsidRDefault="009E02CE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</w:p>
    <w:p w14:paraId="7FF5A3E0" w14:textId="503B24CB" w:rsidR="00924734" w:rsidRDefault="00924734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Break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1400 – 1415</w:t>
      </w:r>
    </w:p>
    <w:p w14:paraId="32643A8E" w14:textId="24A8EF6B" w:rsidR="00A95C27" w:rsidRPr="001D7422" w:rsidRDefault="009E02CE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</w:p>
    <w:p w14:paraId="52D973AC" w14:textId="041DAC88" w:rsidR="00A95C27" w:rsidRDefault="00924734" w:rsidP="00A95C27">
      <w:pPr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Special Features of CPOE Orders</w:t>
      </w:r>
      <w:r w:rsidR="00A95C27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Stacy Geisert, MSN, APRN, FNP-C</w:t>
      </w:r>
      <w:r w:rsidR="00A95C27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  <w:r w:rsidR="00A95C27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E451D5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A95C27">
        <w:rPr>
          <w:rFonts w:ascii="Century Gothic" w:eastAsia="Century Gothic" w:hAnsi="Century Gothic" w:cs="Century Gothic"/>
          <w:color w:val="5E514D"/>
          <w:sz w:val="22"/>
          <w:szCs w:val="22"/>
        </w:rPr>
        <w:t>14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>15</w:t>
      </w:r>
      <w:r w:rsidR="00A95C27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– 15</w:t>
      </w:r>
      <w:r w:rsidR="007D064A">
        <w:rPr>
          <w:rFonts w:ascii="Century Gothic" w:eastAsia="Century Gothic" w:hAnsi="Century Gothic" w:cs="Century Gothic"/>
          <w:color w:val="5E514D"/>
          <w:sz w:val="22"/>
          <w:szCs w:val="22"/>
        </w:rPr>
        <w:t>00</w:t>
      </w:r>
    </w:p>
    <w:p w14:paraId="13D9C2ED" w14:textId="5C861739" w:rsidR="00E87979" w:rsidRPr="00A95C27" w:rsidRDefault="007F403B" w:rsidP="00A95C27">
      <w:pPr>
        <w:suppressAutoHyphens/>
        <w:ind w:left="4320"/>
        <w:rPr>
          <w:sz w:val="22"/>
          <w:szCs w:val="22"/>
        </w:rPr>
      </w:pPr>
      <w:r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>CNL,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  <w:r w:rsidR="00A95C27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CPHON, CPN, </w:t>
      </w:r>
      <w:r w:rsidR="00A95C27">
        <w:rPr>
          <w:rFonts w:ascii="Century Gothic" w:eastAsia="Century Gothic" w:hAnsi="Century Gothic" w:cs="Century Gothic"/>
          <w:color w:val="5E514D"/>
          <w:sz w:val="22"/>
          <w:szCs w:val="22"/>
        </w:rPr>
        <w:t>B</w:t>
      </w:r>
      <w:r w:rsidR="00A95C27" w:rsidRPr="00A95C27">
        <w:rPr>
          <w:rFonts w:ascii="Century Gothic" w:eastAsia="Century Gothic" w:hAnsi="Century Gothic" w:cs="Century Gothic"/>
          <w:color w:val="5E514D"/>
          <w:sz w:val="22"/>
          <w:szCs w:val="22"/>
        </w:rPr>
        <w:t>MTCN</w:t>
      </w:r>
    </w:p>
    <w:p w14:paraId="0EABF417" w14:textId="7E2E562B" w:rsidR="004D6DFA" w:rsidRDefault="004D6DFA" w:rsidP="00E451D5">
      <w:pPr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</w:p>
    <w:p w14:paraId="16C53163" w14:textId="74E78A03" w:rsidR="00924734" w:rsidRDefault="004D6DFA" w:rsidP="00E451D5">
      <w:pPr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Ca</w:t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se Scenarios and </w:t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Stacy Geisert, MSN, APRN, FNP-C</w:t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150</w:t>
      </w:r>
      <w:r w:rsidR="007D064A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0 </w:t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>– 1615</w:t>
      </w:r>
      <w:r w:rsidR="00924734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</w:p>
    <w:p w14:paraId="6EE3195F" w14:textId="75C2FB5A" w:rsidR="004D6DFA" w:rsidRDefault="00924734" w:rsidP="00E451D5">
      <w:pPr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  <w:r>
        <w:rPr>
          <w:rFonts w:ascii="Century Gothic" w:eastAsia="Century Gothic" w:hAnsi="Century Gothic" w:cs="Century Gothic"/>
          <w:color w:val="5E514D"/>
          <w:sz w:val="22"/>
          <w:szCs w:val="22"/>
        </w:rPr>
        <w:t>Computer Simulation</w:t>
      </w:r>
      <w:r w:rsidR="004D6DFA">
        <w:rPr>
          <w:rFonts w:ascii="Century Gothic" w:eastAsia="Century Gothic" w:hAnsi="Century Gothic" w:cs="Century Gothic"/>
          <w:color w:val="5E514D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5E514D"/>
          <w:sz w:val="22"/>
          <w:szCs w:val="22"/>
        </w:rPr>
        <w:tab/>
        <w:t>CPHON, CPN</w:t>
      </w:r>
      <w:r w:rsidR="004D6DFA">
        <w:rPr>
          <w:rFonts w:ascii="Century Gothic" w:eastAsia="Century Gothic" w:hAnsi="Century Gothic" w:cs="Century Gothic"/>
          <w:color w:val="5E514D"/>
          <w:sz w:val="22"/>
          <w:szCs w:val="22"/>
        </w:rPr>
        <w:tab/>
      </w:r>
    </w:p>
    <w:p w14:paraId="681D6550" w14:textId="77777777" w:rsidR="004D6DFA" w:rsidRDefault="004D6DFA" w:rsidP="004D6DFA">
      <w:pPr>
        <w:pStyle w:val="BasicParagraph"/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MS Mincho" w:hAnsi="Century Gothic" w:cs="MinionPro-Regular"/>
          <w:sz w:val="18"/>
          <w:szCs w:val="18"/>
        </w:rPr>
      </w:pPr>
    </w:p>
    <w:p w14:paraId="277A57A8" w14:textId="77777777" w:rsidR="00C26B9C" w:rsidRDefault="00C26B9C" w:rsidP="004D6DFA">
      <w:pPr>
        <w:pStyle w:val="BasicParagraph"/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MS Mincho" w:hAnsi="Century Gothic" w:cs="MinionPro-Regular"/>
          <w:sz w:val="18"/>
          <w:szCs w:val="18"/>
        </w:rPr>
      </w:pPr>
    </w:p>
    <w:sectPr w:rsidR="00C26B9C" w:rsidSect="00DE76D3">
      <w:headerReference w:type="default" r:id="rId10"/>
      <w:pgSz w:w="12240" w:h="15840"/>
      <w:pgMar w:top="46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D0C4" w14:textId="77777777" w:rsidR="002F1342" w:rsidRDefault="002F1342" w:rsidP="000A5D36">
      <w:r>
        <w:separator/>
      </w:r>
    </w:p>
  </w:endnote>
  <w:endnote w:type="continuationSeparator" w:id="0">
    <w:p w14:paraId="46091103" w14:textId="77777777" w:rsidR="002F1342" w:rsidRDefault="002F1342" w:rsidP="000A5D36">
      <w:r>
        <w:continuationSeparator/>
      </w:r>
    </w:p>
  </w:endnote>
  <w:endnote w:type="continuationNotice" w:id="1">
    <w:p w14:paraId="6D76F0EF" w14:textId="77777777" w:rsidR="006A2571" w:rsidRDefault="006A2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526C" w14:textId="77777777" w:rsidR="002F1342" w:rsidRDefault="002F1342" w:rsidP="000A5D36">
      <w:r>
        <w:separator/>
      </w:r>
    </w:p>
  </w:footnote>
  <w:footnote w:type="continuationSeparator" w:id="0">
    <w:p w14:paraId="3288308B" w14:textId="77777777" w:rsidR="002F1342" w:rsidRDefault="002F1342" w:rsidP="000A5D36">
      <w:r>
        <w:continuationSeparator/>
      </w:r>
    </w:p>
  </w:footnote>
  <w:footnote w:type="continuationNotice" w:id="1">
    <w:p w14:paraId="60BCAE00" w14:textId="77777777" w:rsidR="006A2571" w:rsidRDefault="006A2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9BA" w14:textId="6F081ABE" w:rsidR="000A5D36" w:rsidRDefault="00E8797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E2EEB" wp14:editId="2F70AB35">
          <wp:simplePos x="0" y="0"/>
          <wp:positionH relativeFrom="column">
            <wp:posOffset>4175861</wp:posOffset>
          </wp:positionH>
          <wp:positionV relativeFrom="paragraph">
            <wp:posOffset>38100</wp:posOffset>
          </wp:positionV>
          <wp:extent cx="2329531" cy="1222049"/>
          <wp:effectExtent l="0" t="0" r="0" b="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N_Master_OL_WhtTxt_RGB_HiRes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531" cy="1222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735253" wp14:editId="6A7A87F1">
              <wp:simplePos x="0" y="0"/>
              <wp:positionH relativeFrom="column">
                <wp:posOffset>-114086</wp:posOffset>
              </wp:positionH>
              <wp:positionV relativeFrom="paragraph">
                <wp:posOffset>814705</wp:posOffset>
              </wp:positionV>
              <wp:extent cx="2999574" cy="94858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574" cy="9485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243B0" w14:textId="7B6295ED" w:rsidR="00387F11" w:rsidRPr="00387F11" w:rsidRDefault="000509EC">
                          <w:pPr>
                            <w:rPr>
                              <w:b/>
                              <w:color w:val="FFFFFF" w:themeColor="background1"/>
                              <w:sz w:val="84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FFFFFF" w:themeColor="background1"/>
                              <w:spacing w:val="-6"/>
                              <w:sz w:val="84"/>
                              <w:szCs w:val="72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52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9pt;margin-top:64.15pt;width:236.2pt;height:74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" filled="f" stroked="f" strokeweight=".5pt">
              <v:textbox>
                <w:txbxContent>
                  <w:p w14:paraId="70B243B0" w14:textId="7B6295ED" w:rsidR="00387F11" w:rsidRPr="00387F11" w:rsidRDefault="000509EC">
                    <w:pPr>
                      <w:rPr>
                        <w:b/>
                        <w:color w:val="FFFFFF" w:themeColor="background1"/>
                        <w:sz w:val="84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FFFFFF" w:themeColor="background1"/>
                        <w:spacing w:val="-6"/>
                        <w:sz w:val="84"/>
                        <w:szCs w:val="72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A47FAE1" wp14:editId="18D9B1F7">
          <wp:simplePos x="0" y="0"/>
          <wp:positionH relativeFrom="column">
            <wp:posOffset>-710662</wp:posOffset>
          </wp:positionH>
          <wp:positionV relativeFrom="paragraph">
            <wp:posOffset>-457200</wp:posOffset>
          </wp:positionV>
          <wp:extent cx="7731145" cy="2879933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H Meeting Agenda-artwo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45" cy="287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13"/>
    <w:rsid w:val="000321F3"/>
    <w:rsid w:val="00032E84"/>
    <w:rsid w:val="000509EC"/>
    <w:rsid w:val="00051231"/>
    <w:rsid w:val="000525D8"/>
    <w:rsid w:val="000970F0"/>
    <w:rsid w:val="000A57D2"/>
    <w:rsid w:val="000A5D36"/>
    <w:rsid w:val="000F58A2"/>
    <w:rsid w:val="00122B74"/>
    <w:rsid w:val="001302C2"/>
    <w:rsid w:val="0014326A"/>
    <w:rsid w:val="0015003B"/>
    <w:rsid w:val="001844B0"/>
    <w:rsid w:val="001D7422"/>
    <w:rsid w:val="00265043"/>
    <w:rsid w:val="00285562"/>
    <w:rsid w:val="00287944"/>
    <w:rsid w:val="002C0C08"/>
    <w:rsid w:val="002C7702"/>
    <w:rsid w:val="002F1342"/>
    <w:rsid w:val="00317F62"/>
    <w:rsid w:val="0038608A"/>
    <w:rsid w:val="00387F11"/>
    <w:rsid w:val="003B4C8C"/>
    <w:rsid w:val="00413C7D"/>
    <w:rsid w:val="00452F04"/>
    <w:rsid w:val="004925CF"/>
    <w:rsid w:val="004D6DFA"/>
    <w:rsid w:val="0050709E"/>
    <w:rsid w:val="0050774B"/>
    <w:rsid w:val="00561CEF"/>
    <w:rsid w:val="00570B7A"/>
    <w:rsid w:val="0061422C"/>
    <w:rsid w:val="0064213E"/>
    <w:rsid w:val="006A2571"/>
    <w:rsid w:val="007164B6"/>
    <w:rsid w:val="0075137E"/>
    <w:rsid w:val="007D064A"/>
    <w:rsid w:val="007E5542"/>
    <w:rsid w:val="007F403B"/>
    <w:rsid w:val="00836746"/>
    <w:rsid w:val="0083717E"/>
    <w:rsid w:val="00863C99"/>
    <w:rsid w:val="00877319"/>
    <w:rsid w:val="008A78E3"/>
    <w:rsid w:val="00924734"/>
    <w:rsid w:val="00937BC0"/>
    <w:rsid w:val="009744DD"/>
    <w:rsid w:val="009B3F6A"/>
    <w:rsid w:val="009E02CE"/>
    <w:rsid w:val="009E0B4D"/>
    <w:rsid w:val="009F51D3"/>
    <w:rsid w:val="00A0435C"/>
    <w:rsid w:val="00A2173F"/>
    <w:rsid w:val="00A23010"/>
    <w:rsid w:val="00A347D2"/>
    <w:rsid w:val="00A54961"/>
    <w:rsid w:val="00A95C27"/>
    <w:rsid w:val="00AB4288"/>
    <w:rsid w:val="00AE4079"/>
    <w:rsid w:val="00AF078E"/>
    <w:rsid w:val="00AF2F3E"/>
    <w:rsid w:val="00B610B2"/>
    <w:rsid w:val="00BB1217"/>
    <w:rsid w:val="00BC1813"/>
    <w:rsid w:val="00BE1E87"/>
    <w:rsid w:val="00C00EF9"/>
    <w:rsid w:val="00C17106"/>
    <w:rsid w:val="00C211DF"/>
    <w:rsid w:val="00C26B9C"/>
    <w:rsid w:val="00C87CCB"/>
    <w:rsid w:val="00CA51C5"/>
    <w:rsid w:val="00CA5E05"/>
    <w:rsid w:val="00D16C76"/>
    <w:rsid w:val="00DE76D3"/>
    <w:rsid w:val="00DF1BD1"/>
    <w:rsid w:val="00DF4207"/>
    <w:rsid w:val="00E00BA0"/>
    <w:rsid w:val="00E03DF5"/>
    <w:rsid w:val="00E13D44"/>
    <w:rsid w:val="00E451D5"/>
    <w:rsid w:val="00E665A9"/>
    <w:rsid w:val="00E87979"/>
    <w:rsid w:val="00E97791"/>
    <w:rsid w:val="00EC015B"/>
    <w:rsid w:val="00ED3285"/>
    <w:rsid w:val="04AB1E32"/>
    <w:rsid w:val="14957A31"/>
    <w:rsid w:val="1867502C"/>
    <w:rsid w:val="42185866"/>
    <w:rsid w:val="440DCB42"/>
    <w:rsid w:val="4BA6124F"/>
    <w:rsid w:val="56D12E4A"/>
    <w:rsid w:val="59A6B78D"/>
    <w:rsid w:val="69D6ED91"/>
    <w:rsid w:val="7D2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47A2DB2"/>
  <w15:docId w15:val="{2A6E65C1-8545-4458-B2DE-005BC7DB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36"/>
  </w:style>
  <w:style w:type="paragraph" w:styleId="Footer">
    <w:name w:val="footer"/>
    <w:basedOn w:val="Normal"/>
    <w:link w:val="Foot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36"/>
  </w:style>
  <w:style w:type="paragraph" w:customStyle="1" w:styleId="BasicParagraph">
    <w:name w:val="[Basic Paragraph]"/>
    <w:basedOn w:val="Normal"/>
    <w:uiPriority w:val="99"/>
    <w:rsid w:val="000A5D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C9E5F79C7A64D9FF37F75A2C5B7E8" ma:contentTypeVersion="12" ma:contentTypeDescription="Create a new document." ma:contentTypeScope="" ma:versionID="01d02301f4cb9819326558ac5e7a3323">
  <xsd:schema xmlns:xsd="http://www.w3.org/2001/XMLSchema" xmlns:xs="http://www.w3.org/2001/XMLSchema" xmlns:p="http://schemas.microsoft.com/office/2006/metadata/properties" xmlns:ns3="776f55f7-a406-415a-a4a1-c6c913b8e232" targetNamespace="http://schemas.microsoft.com/office/2006/metadata/properties" ma:root="true" ma:fieldsID="1e413f9a1dacda660c13e0d9b673d4b8" ns3:_="">
    <xsd:import namespace="776f55f7-a406-415a-a4a1-c6c913b8e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f55f7-a406-415a-a4a1-c6c913b8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DA310-85DB-4F89-9AF0-574ED9D28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7742F-3C46-4079-B438-9DA16D50783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776f55f7-a406-415a-a4a1-c6c913b8e23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0CD2A3-1B02-4854-A4E9-8A48B6A88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5DCB4-BF4A-4499-A32D-314634365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f55f7-a406-415a-a4a1-c6c913b8e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National Hospital Meeting Agenda Template</vt:lpstr>
    </vt:vector>
  </TitlesOfParts>
  <Company>Children's National Medical Center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National Hospital Meeting Agenda Template</dc:title>
  <dc:creator>Therese Vincent</dc:creator>
  <cp:keywords/>
  <cp:lastModifiedBy>Leeman, Brittany E.</cp:lastModifiedBy>
  <cp:revision>2</cp:revision>
  <cp:lastPrinted>2025-03-17T10:52:00Z</cp:lastPrinted>
  <dcterms:created xsi:type="dcterms:W3CDTF">2025-08-20T04:34:00Z</dcterms:created>
  <dcterms:modified xsi:type="dcterms:W3CDTF">2025-08-20T04:34:00Z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0x010100566C9E5F79C7A64D9FF37F75A2C5B7E8</vt:lpwstr>
  </property>
  <property fmtid="{D5CDD505-2E9C-101B-9397-08002B2CF9AE}" pid="3" name="Order">
    <vt:r8>27100</vt:r8>
  </property>
  <property fmtid="{D5CDD505-2E9C-101B-9397-08002B2CF9AE}" pid="4" name="Doc Title">
    <vt:lpwstr/>
  </property>
</Properties>
</file>